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附件1</w:t>
      </w:r>
    </w:p>
    <w:p>
      <w:pPr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firstLine="220" w:firstLineChars="50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  <w:t>授权委托书</w:t>
      </w:r>
    </w:p>
    <w:p>
      <w:pPr>
        <w:spacing w:line="400" w:lineRule="exact"/>
        <w:rPr>
          <w:rFonts w:ascii="仿宋_GB2312" w:hAnsi="等线" w:eastAsia="仿宋_GB2312"/>
          <w:color w:val="000000" w:themeColor="text1"/>
        </w:rPr>
      </w:pPr>
    </w:p>
    <w:p>
      <w:pPr>
        <w:spacing w:line="360" w:lineRule="auto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蚌埠市总工会：</w:t>
      </w:r>
    </w:p>
    <w:p>
      <w:pPr>
        <w:topLinePunct/>
        <w:spacing w:line="360" w:lineRule="auto"/>
        <w:ind w:firstLine="960" w:firstLineChars="3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我方已知悉公告内容，自愿参与蚌埠市总工会资金存放银行竞争性选择投标，（投标银行名称）现委托</w:t>
      </w:r>
    </w:p>
    <w:p>
      <w:pPr>
        <w:topLinePunct/>
        <w:spacing w:line="360" w:lineRule="auto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（姓名）为我方合法代理人，授权其以我方名义办理投标事项，所签署的相关文件和处理与之有关的一切事务，我方均予认可。</w:t>
      </w:r>
    </w:p>
    <w:p>
      <w:pPr>
        <w:topLinePunct/>
        <w:spacing w:line="360" w:lineRule="auto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代理人无转委托权。</w:t>
      </w:r>
    </w:p>
    <w:p>
      <w:pPr>
        <w:topLinePunct/>
        <w:spacing w:line="440" w:lineRule="exact"/>
        <w:rPr>
          <w:rFonts w:ascii="仿宋_GB2312" w:hAnsi="仿宋" w:eastAsia="仿宋_GB2312"/>
          <w:color w:val="000000" w:themeColor="text1"/>
          <w:sz w:val="32"/>
          <w:szCs w:val="32"/>
        </w:rPr>
      </w:pPr>
    </w:p>
    <w:p>
      <w:pPr>
        <w:topLinePunct/>
        <w:spacing w:line="440" w:lineRule="exact"/>
        <w:rPr>
          <w:rFonts w:ascii="仿宋_GB2312" w:hAnsi="仿宋" w:eastAsia="仿宋_GB2312"/>
          <w:color w:val="000000" w:themeColor="text1"/>
          <w:sz w:val="32"/>
          <w:szCs w:val="32"/>
        </w:rPr>
      </w:pPr>
    </w:p>
    <w:p>
      <w:pPr>
        <w:topLinePunct/>
        <w:spacing w:line="440" w:lineRule="exact"/>
        <w:rPr>
          <w:rFonts w:ascii="仿宋_GB2312" w:hAnsi="仿宋" w:eastAsia="仿宋_GB2312"/>
          <w:color w:val="000000" w:themeColor="text1"/>
          <w:sz w:val="32"/>
          <w:szCs w:val="32"/>
        </w:rPr>
      </w:pPr>
    </w:p>
    <w:p>
      <w:pPr>
        <w:topLinePunct/>
        <w:spacing w:line="440" w:lineRule="exact"/>
        <w:rPr>
          <w:rFonts w:ascii="仿宋_GB2312" w:hAnsi="仿宋" w:eastAsia="仿宋_GB2312"/>
          <w:color w:val="000000" w:themeColor="text1"/>
          <w:sz w:val="32"/>
          <w:szCs w:val="32"/>
        </w:rPr>
      </w:pPr>
    </w:p>
    <w:p>
      <w:pPr>
        <w:topLinePunct/>
        <w:spacing w:line="440" w:lineRule="exact"/>
        <w:rPr>
          <w:rFonts w:ascii="仿宋_GB2312" w:hAnsi="仿宋" w:eastAsia="仿宋_GB2312"/>
          <w:color w:val="000000" w:themeColor="text1"/>
          <w:sz w:val="32"/>
          <w:szCs w:val="32"/>
        </w:rPr>
      </w:pPr>
    </w:p>
    <w:p>
      <w:pPr>
        <w:pStyle w:val="5"/>
        <w:shd w:val="clear" w:color="auto" w:fill="FFFFFF"/>
        <w:snapToGrid w:val="0"/>
        <w:spacing w:beforeAutospacing="0" w:afterAutospacing="0"/>
        <w:ind w:firstLine="4800" w:firstLineChars="15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银行（公章）：</w:t>
      </w:r>
    </w:p>
    <w:p>
      <w:pPr>
        <w:pStyle w:val="5"/>
        <w:shd w:val="clear" w:color="auto" w:fill="FFFFFF"/>
        <w:snapToGrid w:val="0"/>
        <w:spacing w:beforeAutospacing="0" w:afterAutospacing="0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MS Gothic" w:cs="MS Gothic"/>
          <w:color w:val="000000" w:themeColor="text1"/>
          <w:sz w:val="32"/>
          <w:szCs w:val="32"/>
        </w:rPr>
        <w:t> </w:t>
      </w:r>
    </w:p>
    <w:p>
      <w:pPr>
        <w:pStyle w:val="5"/>
        <w:shd w:val="clear" w:color="auto" w:fill="FFFFFF"/>
        <w:snapToGrid w:val="0"/>
        <w:spacing w:beforeAutospacing="0" w:afterAutospacing="0"/>
        <w:ind w:firstLine="4800" w:firstLineChars="15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负责人：</w:t>
      </w:r>
    </w:p>
    <w:p>
      <w:pPr>
        <w:pStyle w:val="5"/>
        <w:shd w:val="clear" w:color="auto" w:fill="FFFFFF"/>
        <w:snapToGrid w:val="0"/>
        <w:spacing w:beforeAutospacing="0" w:afterAutospacing="0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MS Gothic" w:cs="MS Gothic"/>
          <w:color w:val="000000" w:themeColor="text1"/>
          <w:sz w:val="32"/>
          <w:szCs w:val="32"/>
        </w:rPr>
        <w:t> </w:t>
      </w:r>
    </w:p>
    <w:p>
      <w:pPr>
        <w:pStyle w:val="5"/>
        <w:shd w:val="clear" w:color="auto" w:fill="FFFFFF"/>
        <w:snapToGrid w:val="0"/>
        <w:spacing w:beforeAutospacing="0" w:afterAutospacing="0"/>
        <w:ind w:firstLine="5760" w:firstLineChars="18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年   月   日</w:t>
      </w:r>
    </w:p>
    <w:p>
      <w:pPr>
        <w:rPr>
          <w:color w:val="000000" w:themeColor="text1"/>
          <w:sz w:val="32"/>
          <w:szCs w:val="32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 w:themeColor="text1"/>
          <w:sz w:val="32"/>
          <w:szCs w:val="32"/>
        </w:rPr>
        <w:sectPr>
          <w:footerReference r:id="rId3" w:type="default"/>
          <w:pgSz w:w="11906" w:h="16838"/>
          <w:pgMar w:top="1474" w:right="1474" w:bottom="1474" w:left="1474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附件2</w:t>
      </w:r>
    </w:p>
    <w:p>
      <w:pPr>
        <w:pStyle w:val="5"/>
        <w:shd w:val="clear" w:color="auto" w:fill="FFFFFF"/>
        <w:snapToGrid w:val="0"/>
        <w:spacing w:beforeAutospacing="0" w:afterAutospacing="0"/>
        <w:jc w:val="center"/>
        <w:rPr>
          <w:rStyle w:val="9"/>
          <w:rFonts w:ascii="方正小标宋简体" w:hAnsi="方正小标宋简体" w:eastAsia="方正小标宋简体" w:cs="方正小标宋简体"/>
          <w:b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2"/>
          <w:sz w:val="44"/>
          <w:szCs w:val="44"/>
        </w:rPr>
        <w:t>银行自觉抵制商业贿赂行为廉政承诺书</w:t>
      </w:r>
    </w:p>
    <w:p>
      <w:pPr>
        <w:pStyle w:val="5"/>
        <w:shd w:val="clear" w:color="auto" w:fill="FFFFFF"/>
        <w:snapToGrid w:val="0"/>
        <w:spacing w:beforeAutospacing="0" w:afterAutospacing="0"/>
        <w:rPr>
          <w:color w:val="000000" w:themeColor="text1"/>
          <w:sz w:val="28"/>
          <w:szCs w:val="28"/>
        </w:rPr>
      </w:pPr>
    </w:p>
    <w:p>
      <w:pPr>
        <w:pStyle w:val="5"/>
        <w:shd w:val="clear" w:color="auto" w:fill="FFFFFF"/>
        <w:snapToGrid w:val="0"/>
        <w:spacing w:beforeAutospacing="0" w:afterAutospacing="0" w:line="50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蚌埠市总工会：</w:t>
      </w:r>
    </w:p>
    <w:p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为进一步规范银行竞争性选择行为，营造公平竞争的市场环境，在参与蚌埠市总工会工会经费定期存款竞争性选择过程中，我方郑重承诺：</w:t>
      </w:r>
    </w:p>
    <w:p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一、依法参与竞争性选择，遵纪守法，诚信经营，公平竞争。</w:t>
      </w:r>
    </w:p>
    <w:p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二、不向蚌埠市总工会相关负责人员提供任何形式的商业贿赂；对索取或接受商业贿赂的单位和个人，及时向纪检监察机关举报。承诺不得将资金存放与蚌埠市总工会机关干部在本行亲属的业绩、收入挂钩。</w:t>
      </w:r>
    </w:p>
    <w:p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三、不以提供虚假资质文件等形式参与竞争性选择，不以虚假材料谋取成交。</w:t>
      </w:r>
    </w:p>
    <w:p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四、不采取不正当手段诋毁、排挤其它报价银行，与其它参与竞争性选择银行保持良性的竞争关系。</w:t>
      </w:r>
    </w:p>
    <w:p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五、不与蚌埠市总工会相关负责人员恶意串通，自觉维护公平竞争的市场秩序。</w:t>
      </w:r>
    </w:p>
    <w:p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六、严格履行定期存款约定义务，不在履行义务过程中采取降低服务质量或标准、拖延资金汇划时间等方式损害蚌埠市总工会利益，并自觉承担违约责任。</w:t>
      </w:r>
    </w:p>
    <w:p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cs="MS Gothic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七、自觉接受并积极配合纪检监察机关依法实施的监督检查，如实反映情况，及时提供有关证明材料。</w:t>
      </w:r>
      <w:r>
        <w:rPr>
          <w:rFonts w:hint="eastAsia" w:ascii="仿宋_GB2312" w:eastAsia="MS Gothic" w:cs="MS Gothic"/>
          <w:color w:val="000000" w:themeColor="text1"/>
          <w:sz w:val="32"/>
          <w:szCs w:val="32"/>
        </w:rPr>
        <w:t>  </w:t>
      </w:r>
    </w:p>
    <w:p>
      <w:pPr>
        <w:pStyle w:val="5"/>
        <w:shd w:val="clear" w:color="auto" w:fill="FFFFFF"/>
        <w:snapToGrid w:val="0"/>
        <w:spacing w:beforeAutospacing="0" w:afterAutospacing="0" w:line="500" w:lineRule="exact"/>
        <w:ind w:firstLine="4480" w:firstLineChars="14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银行（公章）：</w:t>
      </w:r>
    </w:p>
    <w:p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                       负责人：</w:t>
      </w:r>
    </w:p>
    <w:p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  年   月   日</w:t>
      </w:r>
    </w:p>
    <w:p>
      <w:pPr>
        <w:pStyle w:val="5"/>
        <w:shd w:val="clear" w:color="auto" w:fill="FFFFFF"/>
        <w:snapToGrid w:val="0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pStyle w:val="5"/>
        <w:shd w:val="clear" w:color="auto" w:fill="FFFFFF"/>
        <w:snapToGrid w:val="0"/>
        <w:rPr>
          <w:rFonts w:hint="eastAsia" w:ascii="仿宋_GB2312" w:eastAsia="仿宋_GB2312"/>
          <w:color w:val="000000" w:themeColor="text1"/>
          <w:sz w:val="32"/>
          <w:szCs w:val="32"/>
        </w:rPr>
        <w:sectPr>
          <w:footerReference r:id="rId4" w:type="default"/>
          <w:pgSz w:w="11906" w:h="16838"/>
          <w:pgMar w:top="1474" w:right="1474" w:bottom="1474" w:left="1474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5"/>
        <w:shd w:val="clear" w:color="auto" w:fill="FFFFFF"/>
        <w:snapToGrid w:val="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ascii="仿宋_GB2312" w:eastAsia="仿宋_GB2312"/>
          <w:color w:val="000000" w:themeColor="text1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hAnsi="微软雅黑" w:eastAsia="方正小标宋简体" w:cs="宋体"/>
          <w:color w:val="222222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222222"/>
          <w:kern w:val="0"/>
          <w:sz w:val="44"/>
          <w:szCs w:val="44"/>
        </w:rPr>
        <w:t>定期存款银行评分表</w:t>
      </w:r>
    </w:p>
    <w:p>
      <w:pPr>
        <w:spacing w:line="560" w:lineRule="exact"/>
        <w:jc w:val="left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参与银行（章）：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</w:rPr>
              <w:t>类别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</w:rPr>
              <w:t>指标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</w:rPr>
              <w:t>实际情况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</w:rPr>
              <w:t>备注（附件）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服务水平承诺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支付结算服务的能力和水平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对账服务的能力和水平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分账核算服务的能力和水平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业务熟练程度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业务办理效率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利率水平承诺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承诺定期存款利率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经营状况承诺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资本充足率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净资产总额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流动性比例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资产利润率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不良贷款率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注：如有发现参与银行提供资料不真实、不准确的，直接取消该银行参与资格。</w:t>
      </w:r>
    </w:p>
    <w:p>
      <w:pPr>
        <w:widowControl/>
        <w:shd w:val="clear" w:color="auto" w:fill="FFFFFF"/>
        <w:spacing w:line="579" w:lineRule="exact"/>
        <w:ind w:right="480"/>
        <w:jc w:val="center"/>
        <w:rPr>
          <w:rFonts w:hint="eastAsia" w:ascii="方正小标宋简体" w:eastAsia="方正小标宋简体" w:cs="仿宋_GB2312"/>
          <w:kern w:val="0"/>
          <w:sz w:val="44"/>
          <w:szCs w:val="44"/>
        </w:rPr>
      </w:pPr>
    </w:p>
    <w:p>
      <w:pPr>
        <w:widowControl/>
        <w:shd w:val="clear" w:color="auto" w:fill="FFFFFF"/>
        <w:spacing w:line="579" w:lineRule="exact"/>
        <w:ind w:right="480"/>
        <w:jc w:val="center"/>
        <w:rPr>
          <w:rFonts w:hint="eastAsia" w:ascii="方正小标宋简体" w:eastAsia="方正小标宋简体" w:cs="仿宋_GB2312"/>
          <w:kern w:val="0"/>
          <w:sz w:val="44"/>
          <w:szCs w:val="44"/>
        </w:rPr>
      </w:pPr>
    </w:p>
    <w:p>
      <w:pPr>
        <w:widowControl/>
        <w:shd w:val="clear" w:color="auto" w:fill="FFFFFF"/>
        <w:spacing w:line="579" w:lineRule="exact"/>
        <w:ind w:right="480"/>
        <w:jc w:val="center"/>
        <w:rPr>
          <w:rFonts w:hint="eastAsia" w:ascii="方正小标宋简体" w:eastAsia="方正小标宋简体" w:cs="仿宋_GB2312"/>
          <w:kern w:val="0"/>
          <w:sz w:val="44"/>
          <w:szCs w:val="44"/>
        </w:rPr>
      </w:pPr>
    </w:p>
    <w:p>
      <w:pPr>
        <w:widowControl/>
        <w:shd w:val="clear" w:color="auto" w:fill="FFFFFF"/>
        <w:spacing w:line="579" w:lineRule="exact"/>
        <w:ind w:right="480"/>
        <w:jc w:val="center"/>
        <w:rPr>
          <w:rFonts w:ascii="方正小标宋简体" w:hAnsi="微软雅黑" w:eastAsia="方正小标宋简体" w:cs="宋体"/>
          <w:color w:val="222222"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kern w:val="0"/>
          <w:sz w:val="44"/>
          <w:szCs w:val="44"/>
        </w:rPr>
        <w:t>定期存款银行评分指标和评分方法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一、评分指标体系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评分指标包括3个方面: 服务水平、利率水平和经营状况，权重分别为20%、55%和25%(详见下表)。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tbl>
      <w:tblPr>
        <w:tblStyle w:val="6"/>
        <w:tblW w:w="82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4397"/>
        <w:gridCol w:w="1166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评分指标表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类别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分项指标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权重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权重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服务水平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支付结算服务的能力和水平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4%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对账服务的能力和水平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4%</w:t>
            </w:r>
          </w:p>
        </w:tc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分账核算服务的能力和水平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4%</w:t>
            </w:r>
          </w:p>
        </w:tc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业务熟练程度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4%</w:t>
            </w:r>
          </w:p>
        </w:tc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业务办理效率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4%</w:t>
            </w: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利率水平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承诺定期存款利率（1年）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55%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80" w:firstLineChars="1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经营状况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资本充足率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5%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净资产总额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5%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流动性比例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5%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资产利润率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5%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不良贷款率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5%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 w:cs="仿宋"/>
          <w:b/>
          <w:bCs/>
          <w:sz w:val="28"/>
          <w:szCs w:val="28"/>
        </w:rPr>
      </w:pPr>
    </w:p>
    <w:p>
      <w:pPr>
        <w:spacing w:line="560" w:lineRule="exact"/>
        <w:ind w:firstLine="800" w:firstLineChars="250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二、评分方法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（一）服务水平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服务水平的分项指标应当能够反映资金存放银行提供支付结算、对帐等服务的能力和水平，由资金存放单位根据实际情况和管理要求设置，可以为银行分支机构指标或全行指标，由评选人员根据具体分项指标情况采取计算方法或评审方法，采用百分制打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利率水平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利率水平由参与竞争的银行分支机构在总行授权范围内提供。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经营状况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经营状况类各项指标根据全行数据计算得出，数据一般来源于已披露的最近一年的年度报告。</w:t>
      </w:r>
    </w:p>
    <w:p>
      <w:pPr>
        <w:ind w:left="420" w:leftChars="200" w:firstLine="160" w:firstLineChars="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单项指标得分=</w:t>
      </w:r>
      <w:r>
        <w:rPr>
          <w:rFonts w:hint="eastAsia" w:ascii="仿宋_GB2312" w:hAnsi="仿宋" w:eastAsia="仿宋_GB2312" w:cs="仿宋"/>
          <w:position w:val="-26"/>
          <w:sz w:val="32"/>
          <w:szCs w:val="32"/>
        </w:rPr>
        <w:object>
          <v:shape id="_x0000_i1025" o:spt="75" type="#_x0000_t75" style="height:33pt;width:185.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eastAsia" w:ascii="仿宋_GB2312" w:hAnsi="Arial" w:eastAsia="仿宋_GB2312" w:cs="Arial"/>
          <w:sz w:val="32"/>
          <w:szCs w:val="32"/>
        </w:rPr>
        <w:t>×</w:t>
      </w:r>
      <w:r>
        <w:rPr>
          <w:rFonts w:hint="eastAsia" w:ascii="仿宋_GB2312" w:hAnsi="仿宋" w:eastAsia="仿宋_GB2312" w:cs="仿宋"/>
          <w:sz w:val="32"/>
          <w:szCs w:val="32"/>
        </w:rPr>
        <w:t>100</w:t>
      </w:r>
    </w:p>
    <w:p>
      <w:pPr>
        <w:ind w:left="420" w:leftChars="200" w:firstLine="160" w:firstLineChars="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不良贷款率得分=</w:t>
      </w:r>
      <w:r>
        <w:rPr>
          <w:rFonts w:hint="eastAsia" w:ascii="仿宋_GB2312" w:hAnsi="仿宋" w:eastAsia="仿宋_GB2312" w:cs="仿宋"/>
          <w:position w:val="-26"/>
          <w:sz w:val="32"/>
          <w:szCs w:val="32"/>
        </w:rPr>
        <w:object>
          <v:shape id="_x0000_i1026" o:spt="75" type="#_x0000_t75" style="height:33pt;width:185.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hint="eastAsia" w:ascii="仿宋_GB2312" w:hAnsi="Arial" w:eastAsia="仿宋_GB2312" w:cs="Arial"/>
          <w:sz w:val="32"/>
          <w:szCs w:val="32"/>
        </w:rPr>
        <w:t>×</w:t>
      </w:r>
      <w:r>
        <w:rPr>
          <w:rFonts w:hint="eastAsia" w:ascii="仿宋_GB2312" w:hAnsi="仿宋" w:eastAsia="仿宋_GB2312" w:cs="仿宋"/>
          <w:sz w:val="32"/>
          <w:szCs w:val="32"/>
        </w:rPr>
        <w:t>100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三、总分计算方法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单个评选人员对某个银行评分＝Σ经营状况中单项指标得分×分项指标权重+Σ服务水平中单项指标得分×分项指标权重+利率水平指标得分×本项指标权重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参评银行最终得分为评选委员会中全体评选人员评分的算术平均数。</w:t>
      </w:r>
    </w:p>
    <w:p>
      <w:pPr>
        <w:spacing w:line="560" w:lineRule="exact"/>
        <w:rPr>
          <w:rFonts w:ascii="仿宋" w:hAnsi="仿宋" w:eastAsia="仿宋" w:cs="仿宋"/>
          <w:sz w:val="30"/>
        </w:rPr>
      </w:pPr>
    </w:p>
    <w:p>
      <w:pPr>
        <w:pStyle w:val="5"/>
        <w:widowControl/>
        <w:wordWrap w:val="0"/>
        <w:spacing w:beforeAutospacing="0" w:afterAutospacing="0" w:line="30" w:lineRule="atLeast"/>
        <w:jc w:val="both"/>
        <w:rPr>
          <w:color w:val="000000" w:themeColor="text1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                                                                                       </w:t>
      </w:r>
    </w:p>
    <w:sectPr>
      <w:footerReference r:id="rId5" w:type="default"/>
      <w:pgSz w:w="11906" w:h="16838"/>
      <w:pgMar w:top="1474" w:right="1474" w:bottom="1474" w:left="147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lang w:val="en-US" w:eastAsia="zh-CN"/>
      </w:rPr>
    </w:pPr>
    <w:r>
      <w:rPr>
        <w:rFonts w:hint="eastAsia"/>
        <w:lang w:val="en-US" w:eastAsia="zh-CN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6FD00C"/>
    <w:multiLevelType w:val="singleLevel"/>
    <w:tmpl w:val="7B6FD0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lYTRlNGU0ZDQ2MjYzZGE2ZjM5NGE2ZWNmNzM5NDQifQ=="/>
  </w:docVars>
  <w:rsids>
    <w:rsidRoot w:val="00C01F66"/>
    <w:rsid w:val="00095905"/>
    <w:rsid w:val="004D4478"/>
    <w:rsid w:val="007E0ACD"/>
    <w:rsid w:val="008B3066"/>
    <w:rsid w:val="0097174D"/>
    <w:rsid w:val="00974932"/>
    <w:rsid w:val="00994B24"/>
    <w:rsid w:val="00BF4134"/>
    <w:rsid w:val="00C01F66"/>
    <w:rsid w:val="00D7387E"/>
    <w:rsid w:val="03F2744A"/>
    <w:rsid w:val="04D07A99"/>
    <w:rsid w:val="077E43B3"/>
    <w:rsid w:val="09380E13"/>
    <w:rsid w:val="0BAD08AC"/>
    <w:rsid w:val="0BD50463"/>
    <w:rsid w:val="135E6FAE"/>
    <w:rsid w:val="13FD52ED"/>
    <w:rsid w:val="160F35A3"/>
    <w:rsid w:val="1BFB1BD0"/>
    <w:rsid w:val="1C696453"/>
    <w:rsid w:val="1EA27958"/>
    <w:rsid w:val="1F113549"/>
    <w:rsid w:val="20772328"/>
    <w:rsid w:val="210F1AAD"/>
    <w:rsid w:val="29F76275"/>
    <w:rsid w:val="2B394499"/>
    <w:rsid w:val="33BB2870"/>
    <w:rsid w:val="33EB5D22"/>
    <w:rsid w:val="3ADD5ACE"/>
    <w:rsid w:val="3B02086F"/>
    <w:rsid w:val="3D214680"/>
    <w:rsid w:val="4CDE46A8"/>
    <w:rsid w:val="4E1F47F5"/>
    <w:rsid w:val="5903518C"/>
    <w:rsid w:val="6254428C"/>
    <w:rsid w:val="62F21761"/>
    <w:rsid w:val="647A3D7D"/>
    <w:rsid w:val="6CB073F0"/>
    <w:rsid w:val="6E9D5572"/>
    <w:rsid w:val="72391532"/>
    <w:rsid w:val="725368A4"/>
    <w:rsid w:val="731663A8"/>
    <w:rsid w:val="75B80E2A"/>
    <w:rsid w:val="782E247D"/>
    <w:rsid w:val="784D27C5"/>
    <w:rsid w:val="EDFD5A4B"/>
    <w:rsid w:val="F9ED87EB"/>
    <w:rsid w:val="FCFF41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uiPriority w:val="0"/>
    <w:rPr>
      <w:b/>
      <w:bCs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4" textRotate="1"/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250</Words>
  <Characters>1427</Characters>
  <Lines>11</Lines>
  <Paragraphs>3</Paragraphs>
  <TotalTime>2</TotalTime>
  <ScaleCrop>false</ScaleCrop>
  <LinksUpToDate>false</LinksUpToDate>
  <CharactersWithSpaces>1674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2023-08-09T17:34:00Z</dcterms:created>
  <dc:creator>HP</dc:creator>
  <cp:lastModifiedBy>Ethanol.</cp:lastModifiedBy>
  <dcterms:modified xsi:type="dcterms:W3CDTF">2024-04-23T07:54:15Z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E3D9B8DCC623484BB938014F82F1C8DC_13</vt:lpwstr>
  </property>
</Properties>
</file>