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2F55">
      <w:pPr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附件1</w:t>
      </w:r>
    </w:p>
    <w:p w14:paraId="54467302">
      <w:pPr>
        <w:rPr>
          <w:rFonts w:ascii="仿宋_GB2312" w:hAnsi="宋体" w:eastAsia="仿宋_GB2312"/>
          <w:color w:val="000000" w:themeColor="text1"/>
          <w:sz w:val="32"/>
          <w:szCs w:val="32"/>
        </w:rPr>
      </w:pPr>
    </w:p>
    <w:p w14:paraId="1651C2FC">
      <w:pPr>
        <w:ind w:firstLine="220" w:firstLineChars="5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授权委托书</w:t>
      </w:r>
    </w:p>
    <w:p w14:paraId="395729A0">
      <w:pPr>
        <w:spacing w:line="400" w:lineRule="exact"/>
        <w:rPr>
          <w:rFonts w:ascii="仿宋_GB2312" w:hAnsi="等线" w:eastAsia="仿宋_GB2312"/>
          <w:color w:val="000000" w:themeColor="text1"/>
        </w:rPr>
      </w:pPr>
    </w:p>
    <w:p w14:paraId="238CCD8C">
      <w:pPr>
        <w:spacing w:line="360" w:lineRule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蚌埠市总工会：</w:t>
      </w:r>
    </w:p>
    <w:p w14:paraId="6BC8FA6D">
      <w:pPr>
        <w:topLinePunct/>
        <w:spacing w:line="360" w:lineRule="auto"/>
        <w:ind w:firstLine="960" w:firstLineChars="3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我方已知悉公告内容，自愿参与蚌埠市总工会资金存放银行竞争性选择投标，（投标银行名称）现委托</w:t>
      </w:r>
    </w:p>
    <w:p w14:paraId="1D87E345">
      <w:pPr>
        <w:topLinePunct/>
        <w:spacing w:line="360" w:lineRule="auto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（姓名）为我方合法代理人，授权其以我方名义办理投标事项，所签署的相关文件和处理与之有关的一切事务，我方均予认可。</w:t>
      </w:r>
    </w:p>
    <w:p w14:paraId="227B7955">
      <w:pPr>
        <w:topLinePunct/>
        <w:spacing w:line="360" w:lineRule="auto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代理人无转委托权。</w:t>
      </w:r>
    </w:p>
    <w:p w14:paraId="1AAF4B42">
      <w:pPr>
        <w:topLinePunct/>
        <w:spacing w:line="44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p w14:paraId="458A2089">
      <w:pPr>
        <w:topLinePunct/>
        <w:spacing w:line="44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p w14:paraId="656C2272">
      <w:pPr>
        <w:topLinePunct/>
        <w:spacing w:line="44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p w14:paraId="2319D2F4">
      <w:pPr>
        <w:topLinePunct/>
        <w:spacing w:line="44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p w14:paraId="6CE65033">
      <w:pPr>
        <w:topLinePunct/>
        <w:spacing w:line="440" w:lineRule="exact"/>
        <w:rPr>
          <w:rFonts w:ascii="仿宋_GB2312" w:hAnsi="仿宋" w:eastAsia="仿宋_GB2312"/>
          <w:color w:val="000000" w:themeColor="text1"/>
          <w:sz w:val="32"/>
          <w:szCs w:val="32"/>
        </w:rPr>
      </w:pPr>
    </w:p>
    <w:p w14:paraId="4F238701">
      <w:pPr>
        <w:pStyle w:val="5"/>
        <w:shd w:val="clear" w:color="auto" w:fill="FFFFFF"/>
        <w:snapToGrid w:val="0"/>
        <w:spacing w:beforeAutospacing="0" w:afterAutospacing="0"/>
        <w:ind w:firstLine="4800" w:firstLineChars="15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银行（公章）：</w:t>
      </w:r>
    </w:p>
    <w:p w14:paraId="41AFB33F">
      <w:pPr>
        <w:pStyle w:val="5"/>
        <w:shd w:val="clear" w:color="auto" w:fill="FFFFFF"/>
        <w:snapToGrid w:val="0"/>
        <w:spacing w:beforeAutospacing="0" w:afterAutospacing="0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MS Gothic" w:cs="MS Gothic"/>
          <w:color w:val="000000" w:themeColor="text1"/>
          <w:sz w:val="32"/>
          <w:szCs w:val="32"/>
        </w:rPr>
        <w:t> </w:t>
      </w:r>
    </w:p>
    <w:p w14:paraId="43F19457">
      <w:pPr>
        <w:pStyle w:val="5"/>
        <w:shd w:val="clear" w:color="auto" w:fill="FFFFFF"/>
        <w:snapToGrid w:val="0"/>
        <w:spacing w:beforeAutospacing="0" w:afterAutospacing="0"/>
        <w:ind w:firstLine="4800" w:firstLineChars="15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负责人：</w:t>
      </w:r>
    </w:p>
    <w:p w14:paraId="3A5F64BD">
      <w:pPr>
        <w:pStyle w:val="5"/>
        <w:shd w:val="clear" w:color="auto" w:fill="FFFFFF"/>
        <w:snapToGrid w:val="0"/>
        <w:spacing w:beforeAutospacing="0" w:afterAutospacing="0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MS Gothic" w:cs="MS Gothic"/>
          <w:color w:val="000000" w:themeColor="text1"/>
          <w:sz w:val="32"/>
          <w:szCs w:val="32"/>
        </w:rPr>
        <w:t> </w:t>
      </w:r>
    </w:p>
    <w:p w14:paraId="41F678ED">
      <w:pPr>
        <w:pStyle w:val="5"/>
        <w:shd w:val="clear" w:color="auto" w:fill="FFFFFF"/>
        <w:snapToGrid w:val="0"/>
        <w:spacing w:beforeAutospacing="0" w:afterAutospacing="0"/>
        <w:ind w:firstLine="5760" w:firstLineChars="18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年   月   日</w:t>
      </w:r>
    </w:p>
    <w:p w14:paraId="6F2ED525">
      <w:pPr>
        <w:rPr>
          <w:color w:val="000000" w:themeColor="text1"/>
          <w:sz w:val="32"/>
          <w:szCs w:val="32"/>
        </w:rPr>
      </w:pPr>
    </w:p>
    <w:p w14:paraId="31E01628">
      <w:pPr>
        <w:rPr>
          <w:color w:val="000000" w:themeColor="text1"/>
        </w:rPr>
      </w:pPr>
    </w:p>
    <w:p w14:paraId="432B06BA">
      <w:pPr>
        <w:rPr>
          <w:color w:val="000000" w:themeColor="text1"/>
        </w:rPr>
      </w:pPr>
    </w:p>
    <w:p w14:paraId="6525ED89">
      <w:pPr>
        <w:rPr>
          <w:color w:val="000000" w:themeColor="text1"/>
        </w:rPr>
      </w:pPr>
    </w:p>
    <w:p w14:paraId="29538656">
      <w:pPr>
        <w:rPr>
          <w:color w:val="000000" w:themeColor="text1"/>
        </w:rPr>
      </w:pPr>
    </w:p>
    <w:p w14:paraId="6938EFAC">
      <w:pPr>
        <w:rPr>
          <w:color w:val="000000" w:themeColor="text1"/>
        </w:rPr>
      </w:pPr>
    </w:p>
    <w:p w14:paraId="57B77819">
      <w:pPr>
        <w:rPr>
          <w:color w:val="000000" w:themeColor="text1"/>
        </w:rPr>
      </w:pPr>
    </w:p>
    <w:p w14:paraId="387EB60B">
      <w:pPr>
        <w:rPr>
          <w:rFonts w:ascii="仿宋_GB2312" w:hAnsi="宋体" w:eastAsia="仿宋_GB2312"/>
          <w:color w:val="000000" w:themeColor="text1"/>
          <w:sz w:val="32"/>
          <w:szCs w:val="32"/>
        </w:rPr>
      </w:pPr>
    </w:p>
    <w:p w14:paraId="1166323C">
      <w:pPr>
        <w:rPr>
          <w:rFonts w:ascii="仿宋_GB2312" w:hAnsi="宋体" w:eastAsia="仿宋_GB2312"/>
          <w:color w:val="000000" w:themeColor="text1"/>
          <w:sz w:val="32"/>
          <w:szCs w:val="32"/>
        </w:rPr>
        <w:sectPr>
          <w:footerReference r:id="rId3" w:type="default"/>
          <w:pgSz w:w="11906" w:h="16838"/>
          <w:pgMar w:top="1474" w:right="1474" w:bottom="1474" w:left="1474" w:header="851" w:footer="992" w:gutter="0"/>
          <w:pgNumType w:start="1"/>
          <w:cols w:space="425" w:num="1"/>
          <w:docGrid w:type="lines" w:linePitch="312" w:charSpace="0"/>
        </w:sectPr>
      </w:pPr>
    </w:p>
    <w:p w14:paraId="6FB89055">
      <w:pPr>
        <w:rPr>
          <w:rFonts w:ascii="仿宋_GB2312" w:hAnsi="宋体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</w:rPr>
        <w:t>附件2</w:t>
      </w:r>
    </w:p>
    <w:p w14:paraId="0B9DEEBD">
      <w:pPr>
        <w:pStyle w:val="5"/>
        <w:shd w:val="clear" w:color="auto" w:fill="FFFFFF"/>
        <w:snapToGrid w:val="0"/>
        <w:spacing w:beforeAutospacing="0" w:afterAutospacing="0"/>
        <w:jc w:val="center"/>
        <w:rPr>
          <w:rStyle w:val="9"/>
          <w:rFonts w:ascii="方正小标宋简体" w:hAnsi="方正小标宋简体" w:eastAsia="方正小标宋简体" w:cs="方正小标宋简体"/>
          <w:b w:val="0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</w:rPr>
        <w:t>银行自觉抵制商业贿赂行为廉政承诺书</w:t>
      </w:r>
    </w:p>
    <w:p w14:paraId="583340BC">
      <w:pPr>
        <w:pStyle w:val="5"/>
        <w:shd w:val="clear" w:color="auto" w:fill="FFFFFF"/>
        <w:snapToGrid w:val="0"/>
        <w:spacing w:beforeAutospacing="0" w:afterAutospacing="0"/>
        <w:rPr>
          <w:color w:val="000000" w:themeColor="text1"/>
          <w:sz w:val="28"/>
          <w:szCs w:val="28"/>
        </w:rPr>
      </w:pPr>
    </w:p>
    <w:p w14:paraId="291F8496">
      <w:pPr>
        <w:pStyle w:val="5"/>
        <w:shd w:val="clear" w:color="auto" w:fill="FFFFFF"/>
        <w:snapToGrid w:val="0"/>
        <w:spacing w:beforeAutospacing="0" w:afterAutospacing="0" w:line="500" w:lineRule="exac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蚌埠市总工会：</w:t>
      </w:r>
    </w:p>
    <w:p w14:paraId="13194CFD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为进一步规范银行竞争性选择行为，营造公平竞争的市场环境，在参与蚌埠市总工会工会经费定期存款竞争性选择过程中，我方郑重承诺：</w:t>
      </w:r>
    </w:p>
    <w:p w14:paraId="414E39A0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一、依法参与竞争性选择，遵纪守法，诚信经营，公平竞争。</w:t>
      </w:r>
    </w:p>
    <w:p w14:paraId="176B1E86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二、不向蚌埠市总工会相关负责人员提供任何形式的商业贿赂；对索取或接受商业贿赂的单位和个人，及时向纪检监察机关举报。承诺不得将资金存放与蚌埠市总工会机关干部在本行亲属的业绩、收入挂钩。</w:t>
      </w:r>
    </w:p>
    <w:p w14:paraId="1C0C95BA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三、不以提供虚假资质文件等形式参与竞争性选择，不以虚假材料谋取成交。</w:t>
      </w:r>
    </w:p>
    <w:p w14:paraId="7B9B85D8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四、不采取不正当手段诋毁、排挤其它报价银行，与其它参与竞争性选择银行保持良性的竞争关系。</w:t>
      </w:r>
    </w:p>
    <w:p w14:paraId="02FCCB22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五、不与蚌埠市总工会相关负责人员恶意串通，自觉维护公平竞争的市场秩序。</w:t>
      </w:r>
    </w:p>
    <w:p w14:paraId="7592F365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六、严格履行定期存款约定义务，不在履行义务过程中采取降低服务质量或标准、拖延资金汇划时间等方式损害蚌埠市总工会利益，并自觉承担违约责任。</w:t>
      </w:r>
    </w:p>
    <w:p w14:paraId="22BB081E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cs="MS Gothic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七、自觉接受并积极配合纪检监察机关依法实施的监督检查，如实反映情况，及时提供有关证明材料。</w:t>
      </w:r>
      <w:r>
        <w:rPr>
          <w:rFonts w:hint="eastAsia" w:ascii="仿宋_GB2312" w:eastAsia="MS Gothic" w:cs="MS Gothic"/>
          <w:color w:val="000000" w:themeColor="text1"/>
          <w:sz w:val="32"/>
          <w:szCs w:val="32"/>
        </w:rPr>
        <w:t>  </w:t>
      </w:r>
    </w:p>
    <w:p w14:paraId="3063D434">
      <w:pPr>
        <w:pStyle w:val="5"/>
        <w:shd w:val="clear" w:color="auto" w:fill="FFFFFF"/>
        <w:snapToGrid w:val="0"/>
        <w:spacing w:beforeAutospacing="0" w:afterAutospacing="0" w:line="500" w:lineRule="exact"/>
        <w:ind w:firstLine="4480" w:firstLineChars="14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银行（公章）：</w:t>
      </w:r>
    </w:p>
    <w:p w14:paraId="0D23B104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                       负责人：</w:t>
      </w:r>
    </w:p>
    <w:p w14:paraId="2EEF465C">
      <w:pPr>
        <w:pStyle w:val="5"/>
        <w:shd w:val="clear" w:color="auto" w:fill="FFFFFF"/>
        <w:snapToGrid w:val="0"/>
        <w:spacing w:beforeAutospacing="0" w:afterAutospacing="0" w:line="500" w:lineRule="exact"/>
        <w:ind w:firstLine="645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                             年   月   日</w:t>
      </w:r>
    </w:p>
    <w:p w14:paraId="447DA5CE">
      <w:pPr>
        <w:pStyle w:val="5"/>
        <w:shd w:val="clear" w:color="auto" w:fill="FFFFFF"/>
        <w:snapToGrid w:val="0"/>
        <w:rPr>
          <w:rFonts w:ascii="仿宋_GB2312" w:eastAsia="仿宋_GB2312"/>
          <w:color w:val="000000" w:themeColor="text1"/>
          <w:sz w:val="32"/>
          <w:szCs w:val="32"/>
        </w:rPr>
      </w:pPr>
    </w:p>
    <w:p w14:paraId="5361329C">
      <w:pPr>
        <w:pStyle w:val="5"/>
        <w:shd w:val="clear" w:color="auto" w:fill="FFFFFF"/>
        <w:snapToGrid w:val="0"/>
        <w:rPr>
          <w:rFonts w:ascii="仿宋_GB2312" w:eastAsia="仿宋_GB2312"/>
          <w:color w:val="000000" w:themeColor="text1"/>
          <w:sz w:val="32"/>
          <w:szCs w:val="32"/>
        </w:rPr>
        <w:sectPr>
          <w:footerReference r:id="rId4" w:type="default"/>
          <w:pgSz w:w="11906" w:h="16838"/>
          <w:pgMar w:top="1474" w:right="1474" w:bottom="1474" w:left="1474" w:header="851" w:footer="992" w:gutter="0"/>
          <w:pgNumType w:start="1"/>
          <w:cols w:space="425" w:num="1"/>
          <w:docGrid w:type="lines" w:linePitch="312" w:charSpace="0"/>
        </w:sectPr>
      </w:pPr>
    </w:p>
    <w:p w14:paraId="73D5FD13">
      <w:pPr>
        <w:pStyle w:val="5"/>
        <w:shd w:val="clear" w:color="auto" w:fill="FFFFFF"/>
        <w:snapToGrid w:val="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</w:t>
      </w:r>
      <w:r>
        <w:rPr>
          <w:rFonts w:ascii="仿宋_GB2312" w:eastAsia="仿宋_GB2312"/>
          <w:color w:val="000000" w:themeColor="text1"/>
          <w:sz w:val="32"/>
          <w:szCs w:val="32"/>
        </w:rPr>
        <w:t>3</w:t>
      </w:r>
    </w:p>
    <w:p w14:paraId="61A49A2D">
      <w:pPr>
        <w:spacing w:line="560" w:lineRule="exact"/>
        <w:jc w:val="center"/>
        <w:rPr>
          <w:rFonts w:ascii="方正小标宋简体" w:hAnsi="微软雅黑" w:eastAsia="方正小标宋简体" w:cs="宋体"/>
          <w:color w:val="222222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222222"/>
          <w:kern w:val="0"/>
          <w:sz w:val="44"/>
          <w:szCs w:val="44"/>
        </w:rPr>
        <w:t>定期存款银行评分表</w:t>
      </w:r>
    </w:p>
    <w:p w14:paraId="3299BA20">
      <w:pPr>
        <w:spacing w:line="560" w:lineRule="exact"/>
        <w:jc w:val="left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参与银行（章）：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908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EA1DA6B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</w:rPr>
              <w:t>类别</w:t>
            </w:r>
          </w:p>
        </w:tc>
        <w:tc>
          <w:tcPr>
            <w:tcW w:w="2130" w:type="dxa"/>
          </w:tcPr>
          <w:p w14:paraId="6A7C373F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</w:rPr>
              <w:t>指标</w:t>
            </w:r>
          </w:p>
        </w:tc>
        <w:tc>
          <w:tcPr>
            <w:tcW w:w="2131" w:type="dxa"/>
          </w:tcPr>
          <w:p w14:paraId="372A27FA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</w:rPr>
              <w:t>实际情况</w:t>
            </w:r>
          </w:p>
        </w:tc>
        <w:tc>
          <w:tcPr>
            <w:tcW w:w="2131" w:type="dxa"/>
          </w:tcPr>
          <w:p w14:paraId="7E200AB1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</w:rPr>
              <w:t>备注（附件）</w:t>
            </w:r>
          </w:p>
        </w:tc>
      </w:tr>
      <w:tr w14:paraId="5254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644891F6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服务水平承诺</w:t>
            </w:r>
          </w:p>
        </w:tc>
        <w:tc>
          <w:tcPr>
            <w:tcW w:w="2130" w:type="dxa"/>
            <w:vAlign w:val="center"/>
          </w:tcPr>
          <w:p w14:paraId="25CA9BDD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支付结算服务的能力和水平</w:t>
            </w:r>
          </w:p>
        </w:tc>
        <w:tc>
          <w:tcPr>
            <w:tcW w:w="2131" w:type="dxa"/>
          </w:tcPr>
          <w:p w14:paraId="49A6F327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6DE2D0C2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332E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71BC0876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661D19C7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对账服务的能力和水平</w:t>
            </w:r>
          </w:p>
        </w:tc>
        <w:tc>
          <w:tcPr>
            <w:tcW w:w="2131" w:type="dxa"/>
          </w:tcPr>
          <w:p w14:paraId="46D8FE43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6CE5875B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3817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FA961C4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283E9721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分账核算服务的能力和水平</w:t>
            </w:r>
          </w:p>
        </w:tc>
        <w:tc>
          <w:tcPr>
            <w:tcW w:w="2131" w:type="dxa"/>
          </w:tcPr>
          <w:p w14:paraId="7A47D64A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0C39CEC2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5041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5F8D93A0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11D87299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业务熟练程度</w:t>
            </w:r>
          </w:p>
        </w:tc>
        <w:tc>
          <w:tcPr>
            <w:tcW w:w="2131" w:type="dxa"/>
          </w:tcPr>
          <w:p w14:paraId="37E09EA5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6B64332D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32F7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81E9702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41406159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业务办理效率</w:t>
            </w:r>
          </w:p>
        </w:tc>
        <w:tc>
          <w:tcPr>
            <w:tcW w:w="2131" w:type="dxa"/>
          </w:tcPr>
          <w:p w14:paraId="1019E248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027711EB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65CBB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483D359">
            <w:pPr>
              <w:spacing w:line="560" w:lineRule="exact"/>
              <w:ind w:firstLine="240" w:firstLineChars="1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利率水平承诺</w:t>
            </w:r>
          </w:p>
        </w:tc>
        <w:tc>
          <w:tcPr>
            <w:tcW w:w="2130" w:type="dxa"/>
            <w:vAlign w:val="center"/>
          </w:tcPr>
          <w:p w14:paraId="18EB2F3A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承诺定期存款利率</w:t>
            </w:r>
          </w:p>
        </w:tc>
        <w:tc>
          <w:tcPr>
            <w:tcW w:w="2131" w:type="dxa"/>
          </w:tcPr>
          <w:p w14:paraId="2C4A7EB4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4647B02A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68296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44A53555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经营状况承诺</w:t>
            </w:r>
          </w:p>
        </w:tc>
        <w:tc>
          <w:tcPr>
            <w:tcW w:w="2130" w:type="dxa"/>
            <w:vAlign w:val="center"/>
          </w:tcPr>
          <w:p w14:paraId="1039594E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资本充足率</w:t>
            </w:r>
          </w:p>
        </w:tc>
        <w:tc>
          <w:tcPr>
            <w:tcW w:w="2131" w:type="dxa"/>
          </w:tcPr>
          <w:p w14:paraId="4BE0DCB3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467BCA77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1153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4F411AB3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6057E1D7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净资产总额</w:t>
            </w:r>
          </w:p>
        </w:tc>
        <w:tc>
          <w:tcPr>
            <w:tcW w:w="2131" w:type="dxa"/>
          </w:tcPr>
          <w:p w14:paraId="6F14BCAE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33F0FD4F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2E1A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5C57580D"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4CE0163A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流动性比例</w:t>
            </w:r>
          </w:p>
        </w:tc>
        <w:tc>
          <w:tcPr>
            <w:tcW w:w="2131" w:type="dxa"/>
          </w:tcPr>
          <w:p w14:paraId="32C7D9B9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19C22F0D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00F0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15422F90"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6B279B0F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资产利润率</w:t>
            </w:r>
          </w:p>
        </w:tc>
        <w:tc>
          <w:tcPr>
            <w:tcW w:w="2131" w:type="dxa"/>
          </w:tcPr>
          <w:p w14:paraId="15CA1FF8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7A2C2C9D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  <w:tr w14:paraId="0091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55676B7">
            <w:pPr>
              <w:spacing w:line="560" w:lineRule="exact"/>
              <w:ind w:firstLine="480" w:firstLineChars="20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1F688CC0">
            <w:pPr>
              <w:widowControl/>
              <w:spacing w:line="56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不良贷款率</w:t>
            </w:r>
          </w:p>
        </w:tc>
        <w:tc>
          <w:tcPr>
            <w:tcW w:w="2131" w:type="dxa"/>
          </w:tcPr>
          <w:p w14:paraId="1C19FEC2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  <w:tc>
          <w:tcPr>
            <w:tcW w:w="2131" w:type="dxa"/>
          </w:tcPr>
          <w:p w14:paraId="74BEC653">
            <w:pPr>
              <w:spacing w:line="560" w:lineRule="exact"/>
              <w:jc w:val="left"/>
              <w:rPr>
                <w:rFonts w:ascii="仿宋" w:hAnsi="仿宋" w:eastAsia="仿宋" w:cs="仿宋"/>
                <w:kern w:val="0"/>
                <w:sz w:val="30"/>
              </w:rPr>
            </w:pPr>
          </w:p>
        </w:tc>
      </w:tr>
    </w:tbl>
    <w:p w14:paraId="7CF5F967">
      <w:pPr>
        <w:spacing w:line="560" w:lineRule="exact"/>
        <w:rPr>
          <w:rFonts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注：如有发现参与银行提供资料不真实、不准确的，直接取消该银行参与资格。</w:t>
      </w:r>
    </w:p>
    <w:p w14:paraId="4D814A21">
      <w:pPr>
        <w:widowControl/>
        <w:shd w:val="clear" w:color="auto" w:fill="FFFFFF"/>
        <w:spacing w:line="579" w:lineRule="exact"/>
        <w:ind w:right="480"/>
        <w:jc w:val="center"/>
        <w:rPr>
          <w:rFonts w:ascii="方正小标宋简体" w:eastAsia="方正小标宋简体" w:cs="仿宋_GB2312"/>
          <w:kern w:val="0"/>
          <w:sz w:val="44"/>
          <w:szCs w:val="44"/>
        </w:rPr>
      </w:pPr>
    </w:p>
    <w:p w14:paraId="27E2BD38">
      <w:pPr>
        <w:widowControl/>
        <w:shd w:val="clear" w:color="auto" w:fill="FFFFFF"/>
        <w:spacing w:line="579" w:lineRule="exact"/>
        <w:ind w:right="480"/>
        <w:jc w:val="center"/>
        <w:rPr>
          <w:rFonts w:ascii="方正小标宋简体" w:eastAsia="方正小标宋简体" w:cs="仿宋_GB2312"/>
          <w:kern w:val="0"/>
          <w:sz w:val="44"/>
          <w:szCs w:val="44"/>
        </w:rPr>
      </w:pPr>
    </w:p>
    <w:p w14:paraId="30567043">
      <w:pPr>
        <w:widowControl/>
        <w:shd w:val="clear" w:color="auto" w:fill="FFFFFF"/>
        <w:spacing w:line="579" w:lineRule="exact"/>
        <w:ind w:right="480"/>
        <w:jc w:val="center"/>
        <w:rPr>
          <w:rFonts w:ascii="方正小标宋简体" w:eastAsia="方正小标宋简体" w:cs="仿宋_GB2312"/>
          <w:kern w:val="0"/>
          <w:sz w:val="44"/>
          <w:szCs w:val="44"/>
        </w:rPr>
      </w:pPr>
    </w:p>
    <w:p w14:paraId="0DF386AA">
      <w:pPr>
        <w:widowControl/>
        <w:shd w:val="clear" w:color="auto" w:fill="FFFFFF"/>
        <w:spacing w:line="579" w:lineRule="exact"/>
        <w:ind w:right="480"/>
        <w:jc w:val="center"/>
        <w:rPr>
          <w:rFonts w:ascii="方正小标宋简体" w:hAnsi="微软雅黑" w:eastAsia="方正小标宋简体" w:cs="宋体"/>
          <w:color w:val="222222"/>
          <w:kern w:val="0"/>
          <w:sz w:val="44"/>
          <w:szCs w:val="44"/>
        </w:rPr>
      </w:pPr>
      <w:r>
        <w:rPr>
          <w:rFonts w:hint="eastAsia" w:ascii="方正小标宋简体" w:eastAsia="方正小标宋简体" w:cs="仿宋_GB2312"/>
          <w:kern w:val="0"/>
          <w:sz w:val="44"/>
          <w:szCs w:val="44"/>
        </w:rPr>
        <w:t>定期存款银行评分指标和评分方法</w:t>
      </w:r>
    </w:p>
    <w:p w14:paraId="34554D7D">
      <w:pPr>
        <w:spacing w:line="560" w:lineRule="exact"/>
        <w:ind w:firstLine="640" w:firstLineChars="20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一、评分指标体系</w:t>
      </w:r>
    </w:p>
    <w:p w14:paraId="679F4C56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评分指标包括3个方面: 服务水平、利率水平和经营状况，权重分别为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仿宋"/>
          <w:sz w:val="32"/>
          <w:szCs w:val="32"/>
        </w:rPr>
        <w:t>%、5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%和2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%(详见下表)。</w:t>
      </w:r>
    </w:p>
    <w:p w14:paraId="75F6768D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</w:p>
    <w:tbl>
      <w:tblPr>
        <w:tblStyle w:val="6"/>
        <w:tblW w:w="826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4397"/>
        <w:gridCol w:w="1166"/>
        <w:gridCol w:w="1286"/>
      </w:tblGrid>
      <w:tr w14:paraId="6FB75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4FE9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8"/>
                <w:szCs w:val="28"/>
              </w:rPr>
              <w:t>评分指标表</w:t>
            </w:r>
          </w:p>
        </w:tc>
      </w:tr>
      <w:tr w14:paraId="0A46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900F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类别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0BFB"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分项指标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F0C3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权重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87A8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权重</w:t>
            </w:r>
          </w:p>
          <w:p w14:paraId="4FC51F07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合计</w:t>
            </w:r>
          </w:p>
        </w:tc>
      </w:tr>
      <w:tr w14:paraId="00AA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137A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服务水平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5579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支付结算服务的能力和水平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A53B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1B95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</w:tr>
      <w:tr w14:paraId="32AF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9693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52BB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对账服务的能力和水平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6945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9B7D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2621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B015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06D1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分账核算服务的能力和水平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36CA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CD1A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148E6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7FA4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DAE4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业务熟练程度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BD43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D549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69317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4291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D846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业务办理效率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2578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8E19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2EB8B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59C6">
            <w:pPr>
              <w:spacing w:line="560" w:lineRule="exact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利率水平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24A4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承诺定期存款利率（1年）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62E1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70C3">
            <w:pPr>
              <w:spacing w:line="560" w:lineRule="exact"/>
              <w:ind w:firstLine="280" w:firstLineChars="100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</w:tr>
      <w:tr w14:paraId="0711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C7BC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经营状况</w:t>
            </w: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A70E"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资本充足率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5CA7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28E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2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</w:tr>
      <w:tr w14:paraId="0670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41C8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5A80"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净资产总额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CE3A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82D8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1F54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1BFB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4DDB"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流动性比例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FFBC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677B">
            <w:pPr>
              <w:spacing w:line="560" w:lineRule="exact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2DF1A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279"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D4E9">
            <w:pPr>
              <w:widowControl/>
              <w:spacing w:line="560" w:lineRule="exact"/>
              <w:ind w:firstLine="560" w:firstLineChars="200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资产利润率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8F52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A725"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  <w:tr w14:paraId="299A9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3DCA"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E86D">
            <w:pPr>
              <w:widowControl/>
              <w:spacing w:line="560" w:lineRule="exact"/>
              <w:ind w:firstLine="560" w:firstLineChars="200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不良贷款率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9CA3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%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EF49">
            <w:pPr>
              <w:spacing w:line="560" w:lineRule="exact"/>
              <w:ind w:firstLine="560" w:firstLineChars="20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</w:tr>
    </w:tbl>
    <w:p w14:paraId="4A237978">
      <w:pPr>
        <w:spacing w:line="560" w:lineRule="exact"/>
        <w:rPr>
          <w:rFonts w:ascii="仿宋_GB2312" w:hAnsi="仿宋" w:eastAsia="仿宋_GB2312" w:cs="仿宋"/>
          <w:b/>
          <w:bCs/>
          <w:sz w:val="28"/>
          <w:szCs w:val="28"/>
        </w:rPr>
      </w:pPr>
    </w:p>
    <w:p w14:paraId="2924D185">
      <w:pPr>
        <w:spacing w:line="560" w:lineRule="exact"/>
        <w:ind w:firstLine="800" w:firstLineChars="250"/>
        <w:rPr>
          <w:rFonts w:ascii="黑体" w:hAnsi="黑体" w:eastAsia="黑体" w:cs="仿宋"/>
          <w:bCs/>
          <w:sz w:val="32"/>
          <w:szCs w:val="32"/>
        </w:rPr>
      </w:pPr>
    </w:p>
    <w:p w14:paraId="62A312AD">
      <w:pPr>
        <w:spacing w:line="560" w:lineRule="exact"/>
        <w:ind w:firstLine="800" w:firstLineChars="250"/>
        <w:rPr>
          <w:rFonts w:ascii="黑体" w:hAnsi="黑体" w:eastAsia="黑体" w:cs="仿宋"/>
          <w:bCs/>
          <w:sz w:val="32"/>
          <w:szCs w:val="32"/>
        </w:rPr>
      </w:pPr>
    </w:p>
    <w:p w14:paraId="59ECF8E0">
      <w:pPr>
        <w:spacing w:line="560" w:lineRule="exact"/>
        <w:ind w:firstLine="800" w:firstLineChars="250"/>
        <w:rPr>
          <w:rFonts w:ascii="黑体" w:hAnsi="黑体" w:eastAsia="黑体" w:cs="仿宋"/>
          <w:bCs/>
          <w:sz w:val="32"/>
          <w:szCs w:val="32"/>
        </w:rPr>
      </w:pPr>
    </w:p>
    <w:p w14:paraId="25CA1CB7">
      <w:pPr>
        <w:spacing w:line="560" w:lineRule="exact"/>
        <w:ind w:firstLine="800" w:firstLineChars="250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二、评分方法</w:t>
      </w:r>
    </w:p>
    <w:p w14:paraId="5D577884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（一）服务水平</w:t>
      </w:r>
    </w:p>
    <w:p w14:paraId="729319A1"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服务水平的分项指标应当能够反映资金存放银行提供支付结算、对帐等服务的能力和水平，由资金存放单位根据实际情况和管理要求设置，可以为银行分支机构指标或全行指标，由评选人员根据具体分项指标情况采取计算方法或评审方法，采用百分制打分。</w:t>
      </w:r>
    </w:p>
    <w:p w14:paraId="23DCE6E9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利率水平</w:t>
      </w:r>
    </w:p>
    <w:p w14:paraId="01E5CA76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利率水平由参与竞争的银行分支机构在总行授权范围内提供。</w:t>
      </w:r>
    </w:p>
    <w:p w14:paraId="15A4F700"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经营状况</w:t>
      </w:r>
    </w:p>
    <w:p w14:paraId="4A954860">
      <w:pPr>
        <w:spacing w:line="56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经营状况类各项指标根据全行数据计算得出，数据一般来源于已披露的最近一年的年度报告。</w:t>
      </w:r>
    </w:p>
    <w:p w14:paraId="529B3179">
      <w:pPr>
        <w:ind w:left="420" w:leftChars="200" w:firstLine="160" w:firstLineChars="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单项指标得分=</w:t>
      </w:r>
      <w:r>
        <w:rPr>
          <w:rFonts w:hint="eastAsia" w:ascii="仿宋_GB2312" w:hAnsi="仿宋" w:eastAsia="仿宋_GB2312" w:cs="仿宋"/>
          <w:position w:val="-26"/>
          <w:sz w:val="32"/>
          <w:szCs w:val="32"/>
        </w:rPr>
        <w:object>
          <v:shape id="_x0000_i1025" o:spt="75" type="#_x0000_t75" style="height:33pt;width:185.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hint="eastAsia" w:ascii="仿宋_GB2312" w:hAnsi="Arial" w:eastAsia="仿宋_GB2312" w:cs="Arial"/>
          <w:sz w:val="32"/>
          <w:szCs w:val="32"/>
        </w:rPr>
        <w:t>×</w:t>
      </w:r>
      <w:r>
        <w:rPr>
          <w:rFonts w:hint="eastAsia" w:ascii="仿宋_GB2312" w:hAnsi="仿宋" w:eastAsia="仿宋_GB2312" w:cs="仿宋"/>
          <w:sz w:val="32"/>
          <w:szCs w:val="32"/>
        </w:rPr>
        <w:t>100</w:t>
      </w:r>
    </w:p>
    <w:p w14:paraId="301363F1">
      <w:pPr>
        <w:ind w:left="420" w:leftChars="200" w:firstLine="160" w:firstLineChars="5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不良贷款率得分=</w:t>
      </w:r>
      <w:r>
        <w:rPr>
          <w:rFonts w:hint="eastAsia" w:ascii="仿宋_GB2312" w:hAnsi="仿宋" w:eastAsia="仿宋_GB2312" w:cs="仿宋"/>
          <w:position w:val="-26"/>
          <w:sz w:val="32"/>
          <w:szCs w:val="32"/>
        </w:rPr>
        <w:object>
          <v:shape id="_x0000_i1026" o:spt="75" type="#_x0000_t75" style="height:33pt;width:185.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9">
            <o:LockedField>false</o:LockedField>
          </o:OLEObject>
        </w:object>
      </w:r>
      <w:r>
        <w:rPr>
          <w:rFonts w:hint="eastAsia" w:ascii="仿宋_GB2312" w:hAnsi="Arial" w:eastAsia="仿宋_GB2312" w:cs="Arial"/>
          <w:sz w:val="32"/>
          <w:szCs w:val="32"/>
        </w:rPr>
        <w:t>×</w:t>
      </w:r>
      <w:r>
        <w:rPr>
          <w:rFonts w:hint="eastAsia" w:ascii="仿宋_GB2312" w:hAnsi="仿宋" w:eastAsia="仿宋_GB2312" w:cs="仿宋"/>
          <w:sz w:val="32"/>
          <w:szCs w:val="32"/>
        </w:rPr>
        <w:t>100</w:t>
      </w:r>
    </w:p>
    <w:p w14:paraId="64F424A6">
      <w:pPr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三、总分计算方法。</w:t>
      </w:r>
    </w:p>
    <w:p w14:paraId="063A1330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单个评选人员对某个银行评分＝Σ经营状况中单项指标得分×分项指标权重+Σ服务水平中单项指标得分×分项指标权重+利率水平指标得分×本项指标权重</w:t>
      </w:r>
    </w:p>
    <w:p w14:paraId="6EEE815E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参评银行最终得分为评选委员会中全体评选人员评分的算术平均数。</w:t>
      </w:r>
      <w:bookmarkStart w:id="0" w:name="_GoBack"/>
      <w:bookmarkEnd w:id="0"/>
    </w:p>
    <w:p w14:paraId="446C48EA">
      <w:pPr>
        <w:spacing w:line="560" w:lineRule="exact"/>
        <w:rPr>
          <w:rFonts w:ascii="仿宋" w:hAnsi="仿宋" w:eastAsia="仿宋" w:cs="仿宋"/>
          <w:sz w:val="30"/>
        </w:rPr>
      </w:pPr>
    </w:p>
    <w:p w14:paraId="25682F77">
      <w:pPr>
        <w:pStyle w:val="5"/>
        <w:widowControl/>
        <w:wordWrap w:val="0"/>
        <w:spacing w:beforeAutospacing="0" w:afterAutospacing="0" w:line="30" w:lineRule="atLeast"/>
        <w:jc w:val="both"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shd w:val="clear" w:color="auto" w:fill="FFFFFF"/>
        </w:rPr>
        <w:t>                                                                              </w:t>
      </w:r>
    </w:p>
    <w:sectPr>
      <w:footerReference r:id="rId5" w:type="default"/>
      <w:pgSz w:w="11906" w:h="16838"/>
      <w:pgMar w:top="1474" w:right="1474" w:bottom="1474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2D8B3">
    <w:pPr>
      <w:pStyle w:val="3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80DDB08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35303">
    <w:pPr>
      <w:pStyle w:val="3"/>
      <w:jc w:val="center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E2584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DDE3DEF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6FD00C"/>
    <w:multiLevelType w:val="singleLevel"/>
    <w:tmpl w:val="7B6FD00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YTRlNGU0ZDQ2MjYzZGE2ZjM5NGE2ZWNmNzM5NDQifQ=="/>
  </w:docVars>
  <w:rsids>
    <w:rsidRoot w:val="00C01F66"/>
    <w:rsid w:val="00095905"/>
    <w:rsid w:val="00362E41"/>
    <w:rsid w:val="004D4478"/>
    <w:rsid w:val="00711E05"/>
    <w:rsid w:val="00760042"/>
    <w:rsid w:val="007E0ACD"/>
    <w:rsid w:val="008B3066"/>
    <w:rsid w:val="0097174D"/>
    <w:rsid w:val="00974932"/>
    <w:rsid w:val="00994B24"/>
    <w:rsid w:val="009A56EC"/>
    <w:rsid w:val="00A51338"/>
    <w:rsid w:val="00BF4134"/>
    <w:rsid w:val="00C01F66"/>
    <w:rsid w:val="00D7387E"/>
    <w:rsid w:val="00DF6B51"/>
    <w:rsid w:val="02351B97"/>
    <w:rsid w:val="03F2744A"/>
    <w:rsid w:val="04D07A99"/>
    <w:rsid w:val="077E43B3"/>
    <w:rsid w:val="09380E13"/>
    <w:rsid w:val="0BAD08AC"/>
    <w:rsid w:val="0BD50463"/>
    <w:rsid w:val="135E6FAE"/>
    <w:rsid w:val="13FD52ED"/>
    <w:rsid w:val="160F35A3"/>
    <w:rsid w:val="1BFB1BD0"/>
    <w:rsid w:val="1C696453"/>
    <w:rsid w:val="1EA27958"/>
    <w:rsid w:val="1F113549"/>
    <w:rsid w:val="20772328"/>
    <w:rsid w:val="210F1AAD"/>
    <w:rsid w:val="29F76275"/>
    <w:rsid w:val="2B394499"/>
    <w:rsid w:val="33BB2870"/>
    <w:rsid w:val="33EB5D22"/>
    <w:rsid w:val="3ADD5ACE"/>
    <w:rsid w:val="3B02086F"/>
    <w:rsid w:val="3D214680"/>
    <w:rsid w:val="47DE6A02"/>
    <w:rsid w:val="4CDE46A8"/>
    <w:rsid w:val="4E1F47F5"/>
    <w:rsid w:val="5903518C"/>
    <w:rsid w:val="6254428C"/>
    <w:rsid w:val="647A3D7D"/>
    <w:rsid w:val="6CB073F0"/>
    <w:rsid w:val="6E9D5572"/>
    <w:rsid w:val="71417404"/>
    <w:rsid w:val="72391532"/>
    <w:rsid w:val="725368A4"/>
    <w:rsid w:val="731663A8"/>
    <w:rsid w:val="75B80E2A"/>
    <w:rsid w:val="782E247D"/>
    <w:rsid w:val="784D27C5"/>
    <w:rsid w:val="EDFD5A4B"/>
    <w:rsid w:val="F9ED87EB"/>
    <w:rsid w:val="FCFF4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autoRedefine/>
    <w:qFormat/>
    <w:uiPriority w:val="0"/>
    <w:rPr>
      <w:b/>
      <w:bCs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4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DEE78-CF1C-40C5-8E0D-B3EF0A7883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1277</Words>
  <Characters>1384</Characters>
  <Lines>11</Lines>
  <Paragraphs>3</Paragraphs>
  <TotalTime>47</TotalTime>
  <ScaleCrop>false</ScaleCrop>
  <LinksUpToDate>false</LinksUpToDate>
  <CharactersWithSpaces>1447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2023-08-09T17:34:00Z</dcterms:created>
  <dc:creator>HP</dc:creator>
  <cp:lastModifiedBy>WPS_1766973505</cp:lastModifiedBy>
  <cp:lastPrinted>2025-06-23T01:03:00Z</cp:lastPrinted>
  <dcterms:modified xsi:type="dcterms:W3CDTF">2026-07-01T01:33:34Z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E3D9B8DCC623484BB938014F82F1C8DC_13</vt:lpwstr>
  </property>
  <property fmtid="{D5CDD505-2E9C-101B-9397-08002B2CF9AE}" pid="4" name="KSOTemplateDocerSaveRecord">
    <vt:lpwstr>eyJoZGlkIjoiNzllYTRlNGU0ZDQ2MjYzZGE2ZjM5NGE2ZWNmNzM5NDQiLCJ1c2VySWQiOiIxNzg2NDM1NTA0In0=</vt:lpwstr>
  </property>
</Properties>
</file>